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bidi/>
        <w:spacing w:after="240"/>
        <w:jc w:val="start"/>
      </w:pPr>
      <w:r>
        <w:rPr>
          <w:rFonts w:ascii="Arial" w:cs="Arial" w:eastAsia="Arial" w:hAnsi="Arial"/>
          <w:b/>
          <w:bCs/>
          <w:color w:val="0E6B63"/>
          <w:sz w:val="32"/>
          <w:szCs w:val="32"/>
          <w:rtl/>
        </w:rPr>
        <w:t xml:space="preserve">دليل استيفاء استمارة 2 — التأمينات الاجتماعية</w:t>
      </w:r>
    </w:p>
    <w:p>
      <w:pPr>
        <w:pBdr>
          <w:top w:val="single" w:color="E5E7EB" w:sz="2"/>
          <w:bottom w:val="single" w:color="E5E7EB" w:sz="2"/>
          <w:left w:val="single" w:color="E5E7EB" w:sz="2"/>
          <w:right w:val="single" w:color="0E6B63" w:sz="12"/>
        </w:pBdr>
        <w:shd w:fill="F3F4F6" w:val="clear"/>
        <w:bidi/>
        <w:spacing w:after="200" w:before="160" w:line="300"/>
        <w:jc w:val="start"/>
      </w:pPr>
      <w:r>
        <w:rPr>
          <w:rFonts w:ascii="Arial" w:cs="Arial" w:eastAsia="Arial" w:hAnsi="Arial"/>
          <w:color w:val="374151"/>
          <w:sz w:val="20"/>
          <w:szCs w:val="20"/>
          <w:rtl/>
        </w:rPr>
        <w:t xml:space="preserve">هذا دليل لملء الاستمارة الرسمية وليس نسخة منها. النموذج المعتمد يُستخرج من الهيئة القومية للتأمين الاجتماعي أو من منافذها الإلكترونية — ولا يُقبل أي نموذج آخر بديلاً عنه. الغرض من هذا الملف أن تصل إلى المنفذ ومعك البيانات كاملة وصحيحة من المرة الأولى.</w:t>
      </w:r>
    </w:p>
    <w:p>
      <w:pPr>
        <w:pStyle w:val="Heading2"/>
        <w:bidi/>
        <w:spacing w:after="140" w:before="300"/>
        <w:jc w:val="start"/>
      </w:pPr>
      <w:r>
        <w:rPr>
          <w:rFonts w:ascii="Arial" w:cs="Arial" w:eastAsia="Arial" w:hAnsi="Arial"/>
          <w:b/>
          <w:bCs/>
          <w:color w:val="0E6B63"/>
          <w:sz w:val="26"/>
          <w:szCs w:val="26"/>
          <w:rtl/>
        </w:rPr>
        <w:t xml:space="preserve">ما هي استمارة 2 ومتى تُقدَّم</w:t>
      </w:r>
    </w:p>
    <w:p>
      <w:pPr>
        <w:bidi/>
        <w:spacing w:after="140" w:line="300"/>
        <w:jc w:val="start"/>
      </w:pPr>
      <w:r>
        <w:rPr>
          <w:rFonts w:ascii="Arial" w:cs="Arial" w:eastAsia="Arial" w:hAnsi="Arial"/>
          <w:color w:val="1F2937"/>
          <w:sz w:val="22"/>
          <w:szCs w:val="22"/>
          <w:rtl/>
        </w:rPr>
        <w:t xml:space="preserve">استمارة 2 هي استمارة إدراج العامل في التأمين الاجتماعي — أي إخطار الهيئة بأن هذا الشخص التحق بالعمل لدى المنشأة، فيبدأ اشتراكه ويبدأ معه احتساب مدة تأمينه.</w:t>
      </w:r>
    </w:p>
    <w:p>
      <w:pPr>
        <w:bidi/>
        <w:spacing w:after="140" w:line="300"/>
        <w:jc w:val="start"/>
      </w:pPr>
      <w:r>
        <w:rPr>
          <w:rFonts w:ascii="Arial" w:cs="Arial" w:eastAsia="Arial" w:hAnsi="Arial"/>
          <w:color w:val="1F2937"/>
          <w:sz w:val="22"/>
          <w:szCs w:val="22"/>
          <w:rtl/>
        </w:rPr>
        <w:t xml:space="preserve">وتُقدَّم عند التحاق العامل بالعمل. والتأخير في تقديمها لا يؤجّل الالتزام بل يراكمه: مدة الاشتراك تُحسب من تاريخ الالتحاق الفعلي، فالفرق بين التاريخين يتحول إلى فروق مستحقة على المنشأة.</w:t>
      </w:r>
    </w:p>
    <w:p>
      <w:pPr>
        <w:pStyle w:val="Heading2"/>
        <w:bidi/>
        <w:spacing w:after="140" w:before="300"/>
        <w:jc w:val="start"/>
      </w:pPr>
      <w:r>
        <w:rPr>
          <w:rFonts w:ascii="Arial" w:cs="Arial" w:eastAsia="Arial" w:hAnsi="Arial"/>
          <w:b/>
          <w:bCs/>
          <w:color w:val="0E6B63"/>
          <w:sz w:val="26"/>
          <w:szCs w:val="26"/>
          <w:rtl/>
        </w:rPr>
        <w:t xml:space="preserve">قبل أن تذهب: ما الذي يجب أن يكون جاهزاً</w:t>
      </w:r>
    </w:p>
    <w:p>
      <w:pPr>
        <w:pStyle w:val="ListParagraph"/>
        <w:numPr>
          <w:ilvl w:val="0"/>
          <w:numId w:val="2"/>
        </w:numPr>
        <w:bidi/>
        <w:spacing w:after="90" w:line="300"/>
        <w:jc w:val="start"/>
      </w:pPr>
      <w:r>
        <w:rPr>
          <w:rFonts w:ascii="Arial" w:cs="Arial" w:eastAsia="Arial" w:hAnsi="Arial"/>
          <w:color w:val="1F2937"/>
          <w:sz w:val="22"/>
          <w:szCs w:val="22"/>
          <w:rtl/>
        </w:rPr>
        <w:t xml:space="preserve">بيانات المنشأة: الاسم والرقم التأميني للمنشأة والمكتب التأميني التابعة له.</w:t>
      </w:r>
    </w:p>
    <w:p>
      <w:pPr>
        <w:pStyle w:val="ListParagraph"/>
        <w:numPr>
          <w:ilvl w:val="0"/>
          <w:numId w:val="2"/>
        </w:numPr>
        <w:bidi/>
        <w:spacing w:after="90" w:line="300"/>
        <w:jc w:val="start"/>
      </w:pPr>
      <w:r>
        <w:rPr>
          <w:rFonts w:ascii="Arial" w:cs="Arial" w:eastAsia="Arial" w:hAnsi="Arial"/>
          <w:color w:val="1F2937"/>
          <w:sz w:val="22"/>
          <w:szCs w:val="22"/>
          <w:rtl/>
        </w:rPr>
        <w:t xml:space="preserve">بيانات العامل الشخصية كما هي في بطاقة الرقم القومي حرفاً بحرف.</w:t>
      </w:r>
    </w:p>
    <w:p>
      <w:pPr>
        <w:pStyle w:val="ListParagraph"/>
        <w:numPr>
          <w:ilvl w:val="0"/>
          <w:numId w:val="2"/>
        </w:numPr>
        <w:bidi/>
        <w:spacing w:after="90" w:line="300"/>
        <w:jc w:val="start"/>
      </w:pPr>
      <w:r>
        <w:rPr>
          <w:rFonts w:ascii="Arial" w:cs="Arial" w:eastAsia="Arial" w:hAnsi="Arial"/>
          <w:color w:val="1F2937"/>
          <w:sz w:val="22"/>
          <w:szCs w:val="22"/>
          <w:rtl/>
        </w:rPr>
        <w:t xml:space="preserve">الرقم التأميني للعامل إن كان مؤمَّناً عليه سابقاً، أو ما يفيد أنها أول مرة.</w:t>
      </w:r>
    </w:p>
    <w:p>
      <w:pPr>
        <w:pStyle w:val="ListParagraph"/>
        <w:numPr>
          <w:ilvl w:val="0"/>
          <w:numId w:val="2"/>
        </w:numPr>
        <w:bidi/>
        <w:spacing w:after="90" w:line="300"/>
        <w:jc w:val="start"/>
      </w:pPr>
      <w:r>
        <w:rPr>
          <w:rFonts w:ascii="Arial" w:cs="Arial" w:eastAsia="Arial" w:hAnsi="Arial"/>
          <w:color w:val="1F2937"/>
          <w:sz w:val="22"/>
          <w:szCs w:val="22"/>
          <w:rtl/>
        </w:rPr>
        <w:t xml:space="preserve">تاريخ الالتحاق بالعمل الفعلي — لا تاريخ توقيع العقد إن اختلفا.</w:t>
      </w:r>
    </w:p>
    <w:p>
      <w:pPr>
        <w:pStyle w:val="ListParagraph"/>
        <w:numPr>
          <w:ilvl w:val="0"/>
          <w:numId w:val="2"/>
        </w:numPr>
        <w:bidi/>
        <w:spacing w:after="90" w:line="300"/>
        <w:jc w:val="start"/>
      </w:pPr>
      <w:r>
        <w:rPr>
          <w:rFonts w:ascii="Arial" w:cs="Arial" w:eastAsia="Arial" w:hAnsi="Arial"/>
          <w:color w:val="1F2937"/>
          <w:sz w:val="22"/>
          <w:szCs w:val="22"/>
          <w:rtl/>
        </w:rPr>
        <w:t xml:space="preserve">المسمى الوظيفي والمهنة كما ستُقيَّد تأمينياً.</w:t>
      </w:r>
    </w:p>
    <w:p>
      <w:pPr>
        <w:pStyle w:val="ListParagraph"/>
        <w:numPr>
          <w:ilvl w:val="0"/>
          <w:numId w:val="2"/>
        </w:numPr>
        <w:bidi/>
        <w:spacing w:after="90" w:line="300"/>
        <w:jc w:val="start"/>
      </w:pPr>
      <w:r>
        <w:rPr>
          <w:rFonts w:ascii="Arial" w:cs="Arial" w:eastAsia="Arial" w:hAnsi="Arial"/>
          <w:color w:val="1F2937"/>
          <w:sz w:val="22"/>
          <w:szCs w:val="22"/>
          <w:rtl/>
        </w:rPr>
        <w:t xml:space="preserve">الأجر الذي سيُقيَّد للعامل وفقاً لقواعد الأجر التأميني السارية.</w:t>
      </w:r>
    </w:p>
    <w:p>
      <w:pPr>
        <w:pStyle w:val="ListParagraph"/>
        <w:numPr>
          <w:ilvl w:val="0"/>
          <w:numId w:val="2"/>
        </w:numPr>
        <w:bidi/>
        <w:spacing w:after="90" w:line="300"/>
        <w:jc w:val="start"/>
      </w:pPr>
      <w:r>
        <w:rPr>
          <w:rFonts w:ascii="Arial" w:cs="Arial" w:eastAsia="Arial" w:hAnsi="Arial"/>
          <w:color w:val="1F2937"/>
          <w:sz w:val="22"/>
          <w:szCs w:val="22"/>
          <w:rtl/>
        </w:rPr>
        <w:t xml:space="preserve">صورة بطاقة الرقم القومي وصورة المؤهل والشهادات المطلوبة.</w:t>
      </w:r>
    </w:p>
    <w:p>
      <w:pPr>
        <w:pStyle w:val="Heading2"/>
        <w:bidi/>
        <w:spacing w:after="140" w:before="300"/>
        <w:jc w:val="start"/>
      </w:pPr>
      <w:r>
        <w:rPr>
          <w:rFonts w:ascii="Arial" w:cs="Arial" w:eastAsia="Arial" w:hAnsi="Arial"/>
          <w:b/>
          <w:bCs/>
          <w:color w:val="0E6B63"/>
          <w:sz w:val="26"/>
          <w:szCs w:val="26"/>
          <w:rtl/>
        </w:rPr>
        <w:t xml:space="preserve">الحقول التي تتكرر فيها الأخطاء</w:t>
      </w:r>
    </w:p>
    <w:tbl>
      <w:tblPr>
        <w:bidiVisual/>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3400"/>
      </w:tblGrid>
      <w:tr>
        <w:trPr>
          <w:tblHeader/>
        </w:trPr>
        <w:tc>
          <w:tcPr>
            <w:tcW w:type="dxa" w:w="1800"/>
            <w:shd w:fill="E8F3F1" w:val="clear"/>
            <w:tcMar>
              <w:top w:type="dxa" w:w="80"/>
              <w:left w:type="dxa" w:w="120"/>
              <w:bottom w:type="dxa" w:w="80"/>
              <w:right w:type="dxa" w:w="120"/>
            </w:tcMar>
          </w:tcPr>
          <w:p>
            <w:pPr>
              <w:bidi/>
              <w:spacing w:after="0"/>
              <w:jc w:val="start"/>
            </w:pPr>
            <w:r>
              <w:rPr>
                <w:rFonts w:ascii="Arial" w:cs="Arial" w:eastAsia="Arial" w:hAnsi="Arial"/>
                <w:b/>
                <w:bCs/>
                <w:color w:val="0E6B63"/>
                <w:sz w:val="20"/>
                <w:szCs w:val="20"/>
                <w:rtl/>
              </w:rPr>
              <w:t xml:space="preserve">الحقل</w:t>
            </w:r>
          </w:p>
        </w:tc>
        <w:tc>
          <w:tcPr>
            <w:tcW w:type="dxa" w:w="3200"/>
            <w:shd w:fill="E8F3F1" w:val="clear"/>
            <w:tcMar>
              <w:top w:type="dxa" w:w="80"/>
              <w:left w:type="dxa" w:w="120"/>
              <w:bottom w:type="dxa" w:w="80"/>
              <w:right w:type="dxa" w:w="120"/>
            </w:tcMar>
          </w:tcPr>
          <w:p>
            <w:pPr>
              <w:bidi/>
              <w:spacing w:after="0"/>
              <w:jc w:val="start"/>
            </w:pPr>
            <w:r>
              <w:rPr>
                <w:rFonts w:ascii="Arial" w:cs="Arial" w:eastAsia="Arial" w:hAnsi="Arial"/>
                <w:b/>
                <w:bCs/>
                <w:color w:val="0E6B63"/>
                <w:sz w:val="20"/>
                <w:szCs w:val="20"/>
                <w:rtl/>
              </w:rPr>
              <w:t xml:space="preserve">الخطأ الشائع</w:t>
            </w:r>
          </w:p>
        </w:tc>
        <w:tc>
          <w:tcPr>
            <w:tcW w:type="dxa" w:w="3400"/>
            <w:shd w:fill="E8F3F1" w:val="clear"/>
            <w:tcMar>
              <w:top w:type="dxa" w:w="80"/>
              <w:left w:type="dxa" w:w="120"/>
              <w:bottom w:type="dxa" w:w="80"/>
              <w:right w:type="dxa" w:w="120"/>
            </w:tcMar>
          </w:tcPr>
          <w:p>
            <w:pPr>
              <w:bidi/>
              <w:spacing w:after="0"/>
              <w:jc w:val="start"/>
            </w:pPr>
            <w:r>
              <w:rPr>
                <w:rFonts w:ascii="Arial" w:cs="Arial" w:eastAsia="Arial" w:hAnsi="Arial"/>
                <w:b/>
                <w:bCs/>
                <w:color w:val="0E6B63"/>
                <w:sz w:val="20"/>
                <w:szCs w:val="20"/>
                <w:rtl/>
              </w:rPr>
              <w:t xml:space="preserve">ما ينبغي فعله</w:t>
            </w:r>
          </w:p>
        </w:tc>
      </w:tr>
      <w:tr>
        <w:tc>
          <w:tcPr>
            <w:tcW w:type="dxa" w:w="18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اسم العامل</w:t>
            </w:r>
          </w:p>
        </w:tc>
        <w:tc>
          <w:tcPr>
            <w:tcW w:type="dxa" w:w="32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كتابته كما ينطق أو باختصار جزء منه</w:t>
            </w:r>
          </w:p>
        </w:tc>
        <w:tc>
          <w:tcPr>
            <w:tcW w:type="dxa" w:w="34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انقله من بطاقة الرقم القومي حرفاً بحرف، بما في ذلك اللقب</w:t>
            </w:r>
          </w:p>
        </w:tc>
      </w:tr>
      <w:tr>
        <w:tc>
          <w:tcPr>
            <w:tcW w:type="dxa" w:w="18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الرقم القومي</w:t>
            </w:r>
          </w:p>
        </w:tc>
        <w:tc>
          <w:tcPr>
            <w:tcW w:type="dxa" w:w="32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خطأ رقم واحد يمر دون ملاحظة</w:t>
            </w:r>
          </w:p>
        </w:tc>
        <w:tc>
          <w:tcPr>
            <w:tcW w:type="dxa" w:w="34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راجعه رقماً رقماً من البطاقة نفسها لا من ورقة منقولة</w:t>
            </w:r>
          </w:p>
        </w:tc>
      </w:tr>
      <w:tr>
        <w:tc>
          <w:tcPr>
            <w:tcW w:type="dxa" w:w="18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تاريخ الالتحاق</w:t>
            </w:r>
          </w:p>
        </w:tc>
        <w:tc>
          <w:tcPr>
            <w:tcW w:type="dxa" w:w="32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كتابة تاريخ تقديم الاستمارة</w:t>
            </w:r>
          </w:p>
        </w:tc>
        <w:tc>
          <w:tcPr>
            <w:tcW w:type="dxa" w:w="34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اكتب تاريخ أول يوم عمل فعلي — عليه تُحسب المدة</w:t>
            </w:r>
          </w:p>
        </w:tc>
      </w:tr>
      <w:tr>
        <w:tc>
          <w:tcPr>
            <w:tcW w:type="dxa" w:w="18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الأجر</w:t>
            </w:r>
          </w:p>
        </w:tc>
        <w:tc>
          <w:tcPr>
            <w:tcW w:type="dxa" w:w="32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كتابة الإجمالي أو الصافي دون مراجعة قواعد الأجر التأميني</w:t>
            </w:r>
          </w:p>
        </w:tc>
        <w:tc>
          <w:tcPr>
            <w:tcW w:type="dxa" w:w="34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راجع ما يدخل في الأجر التأميني وحدوده الدنيا والعليا السارية</w:t>
            </w:r>
          </w:p>
        </w:tc>
      </w:tr>
      <w:tr>
        <w:tc>
          <w:tcPr>
            <w:tcW w:type="dxa" w:w="18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المهنة</w:t>
            </w:r>
          </w:p>
        </w:tc>
        <w:tc>
          <w:tcPr>
            <w:tcW w:type="dxa" w:w="32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كتابة المسمى الداخلي للشركة</w:t>
            </w:r>
          </w:p>
        </w:tc>
        <w:tc>
          <w:tcPr>
            <w:tcW w:type="dxa" w:w="34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استخدم المسمى المتعارف عليه تأمينياً لا المسمى الوظيفي الداخلي</w:t>
            </w:r>
          </w:p>
        </w:tc>
      </w:tr>
      <w:tr>
        <w:tc>
          <w:tcPr>
            <w:tcW w:type="dxa" w:w="18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اشتراك سابق</w:t>
            </w:r>
          </w:p>
        </w:tc>
        <w:tc>
          <w:tcPr>
            <w:tcW w:type="dxa" w:w="32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تركه فارغاً فيُفتح ملف تأميني ثانٍ للشخص نفسه</w:t>
            </w:r>
          </w:p>
        </w:tc>
        <w:tc>
          <w:tcPr>
            <w:tcW w:type="dxa" w:w="3400"/>
            <w:tcMar>
              <w:top w:type="dxa" w:w="80"/>
              <w:left w:type="dxa" w:w="120"/>
              <w:bottom w:type="dxa" w:w="80"/>
              <w:right w:type="dxa" w:w="120"/>
            </w:tcMar>
          </w:tcPr>
          <w:p>
            <w:pPr>
              <w:bidi/>
              <w:spacing w:after="0"/>
              <w:jc w:val="start"/>
            </w:pPr>
            <w:r>
              <w:rPr>
                <w:rFonts w:ascii="Arial" w:cs="Arial" w:eastAsia="Arial" w:hAnsi="Arial"/>
                <w:color w:val="1F2937"/>
                <w:sz w:val="20"/>
                <w:szCs w:val="20"/>
                <w:rtl/>
              </w:rPr>
              <w:t xml:space="preserve">أثبِت الرقم التأميني السابق إن وُجد</w:t>
            </w:r>
          </w:p>
        </w:tc>
      </w:tr>
    </w:tbl>
    <w:p>
      <w:pPr>
        <w:bidi/>
        <w:spacing w:after="120"/>
        <w:jc w:val="start"/>
      </w:pPr>
    </w:p>
    <w:p>
      <w:pPr>
        <w:pBdr>
          <w:top w:val="single" w:color="E5E7EB" w:sz="2"/>
          <w:bottom w:val="single" w:color="E5E7EB" w:sz="2"/>
          <w:left w:val="single" w:color="E5E7EB" w:sz="2"/>
          <w:right w:val="single" w:color="0E6B63" w:sz="12"/>
        </w:pBdr>
        <w:shd w:fill="F3F4F6" w:val="clear"/>
        <w:bidi/>
        <w:spacing w:after="200" w:before="160" w:line="300"/>
        <w:jc w:val="start"/>
      </w:pPr>
      <w:r>
        <w:rPr>
          <w:rFonts w:ascii="Arial" w:cs="Arial" w:eastAsia="Arial" w:hAnsi="Arial"/>
          <w:color w:val="374151"/>
          <w:sz w:val="20"/>
          <w:szCs w:val="20"/>
          <w:rtl/>
        </w:rPr>
        <w:t xml:space="preserve">الخطأ الأكثر تكلفة ليس خطأً في الاستمارة بل عدم تقديمها أصلاً. الموظف يُعيَّن ويُسجَّل في نظام الموارد البشرية ويبدأ الحضور ويُصرف راتبه، ويُترك تسجيله التأميني في انتظار مستند أو انقضاء فترة اختبار — ثم يُنسى. ولا شيء يذكّر به: النظام لا يمتنع عن حساب الراتب لأن الموظف غير مؤمَّن عليه.</w:t>
      </w:r>
    </w:p>
    <w:p>
      <w:pPr>
        <w:pStyle w:val="Heading2"/>
        <w:bidi/>
        <w:spacing w:after="140" w:before="300"/>
        <w:jc w:val="start"/>
      </w:pPr>
      <w:r>
        <w:rPr>
          <w:rFonts w:ascii="Arial" w:cs="Arial" w:eastAsia="Arial" w:hAnsi="Arial"/>
          <w:b/>
          <w:bCs/>
          <w:color w:val="0E6B63"/>
          <w:sz w:val="26"/>
          <w:szCs w:val="26"/>
          <w:rtl/>
        </w:rPr>
        <w:t xml:space="preserve">بعد التقديم: ما الذي تحتفظ به</w:t>
      </w:r>
    </w:p>
    <w:p>
      <w:pPr>
        <w:pStyle w:val="ListParagraph"/>
        <w:numPr>
          <w:ilvl w:val="0"/>
          <w:numId w:val="3"/>
        </w:numPr>
        <w:bidi/>
        <w:spacing w:after="90" w:line="300"/>
        <w:jc w:val="start"/>
      </w:pPr>
      <w:r>
        <w:rPr>
          <w:rFonts w:ascii="Arial" w:cs="Arial" w:eastAsia="Arial" w:hAnsi="Arial"/>
          <w:color w:val="1F2937"/>
          <w:sz w:val="22"/>
          <w:szCs w:val="22"/>
          <w:rtl/>
        </w:rPr>
        <w:t xml:space="preserve">رقم وتاريخ ورود الاستمارة — وهما بيانان يُرجَع إليهما بعد سنوات في أي مطابقة أو نزاع.</w:t>
      </w:r>
    </w:p>
    <w:p>
      <w:pPr>
        <w:pStyle w:val="ListParagraph"/>
        <w:numPr>
          <w:ilvl w:val="0"/>
          <w:numId w:val="3"/>
        </w:numPr>
        <w:bidi/>
        <w:spacing w:after="90" w:line="300"/>
        <w:jc w:val="start"/>
      </w:pPr>
      <w:r>
        <w:rPr>
          <w:rFonts w:ascii="Arial" w:cs="Arial" w:eastAsia="Arial" w:hAnsi="Arial"/>
          <w:color w:val="1F2937"/>
          <w:sz w:val="22"/>
          <w:szCs w:val="22"/>
          <w:rtl/>
        </w:rPr>
        <w:t xml:space="preserve">صورة من الاستمارة بعد ختمها.</w:t>
      </w:r>
    </w:p>
    <w:p>
      <w:pPr>
        <w:pStyle w:val="ListParagraph"/>
        <w:numPr>
          <w:ilvl w:val="0"/>
          <w:numId w:val="3"/>
        </w:numPr>
        <w:bidi/>
        <w:spacing w:after="90" w:line="300"/>
        <w:jc w:val="start"/>
      </w:pPr>
      <w:r>
        <w:rPr>
          <w:rFonts w:ascii="Arial" w:cs="Arial" w:eastAsia="Arial" w:hAnsi="Arial"/>
          <w:color w:val="1F2937"/>
          <w:sz w:val="22"/>
          <w:szCs w:val="22"/>
          <w:rtl/>
        </w:rPr>
        <w:t xml:space="preserve">قيّد الرقم والتاريخ على ملف الموظف في نظامك لا في ملف ورقي منفصل.</w:t>
      </w:r>
    </w:p>
    <w:p>
      <w:pPr>
        <w:pStyle w:val="Heading2"/>
        <w:bidi/>
        <w:spacing w:after="140" w:before="300"/>
        <w:jc w:val="start"/>
      </w:pPr>
      <w:r>
        <w:rPr>
          <w:rFonts w:ascii="Arial" w:cs="Arial" w:eastAsia="Arial" w:hAnsi="Arial"/>
          <w:b/>
          <w:bCs/>
          <w:color w:val="0E6B63"/>
          <w:sz w:val="26"/>
          <w:szCs w:val="26"/>
          <w:rtl/>
        </w:rPr>
        <w:t xml:space="preserve">متابعة دورية تمنع المفاجآت</w:t>
      </w:r>
    </w:p>
    <w:p>
      <w:pPr>
        <w:bidi/>
        <w:spacing w:after="140" w:line="300"/>
        <w:jc w:val="start"/>
      </w:pPr>
      <w:r>
        <w:rPr>
          <w:rFonts w:ascii="Arial" w:cs="Arial" w:eastAsia="Arial" w:hAnsi="Arial"/>
          <w:color w:val="1F2937"/>
          <w:sz w:val="22"/>
          <w:szCs w:val="22"/>
          <w:rtl/>
        </w:rPr>
        <w:t xml:space="preserve">راجع شهرياً — قبل إقفال المرتبات — قائمتين لا واحدة:</w:t>
      </w:r>
    </w:p>
    <w:p>
      <w:pPr>
        <w:pStyle w:val="ListParagraph"/>
        <w:numPr>
          <w:ilvl w:val="0"/>
          <w:numId w:val="2"/>
        </w:numPr>
        <w:bidi/>
        <w:spacing w:after="90" w:line="300"/>
        <w:jc w:val="start"/>
      </w:pPr>
      <w:r>
        <w:rPr>
          <w:rFonts w:ascii="Arial" w:cs="Arial" w:eastAsia="Arial" w:hAnsi="Arial"/>
          <w:color w:val="1F2937"/>
          <w:sz w:val="22"/>
          <w:szCs w:val="22"/>
          <w:rtl/>
        </w:rPr>
        <w:t xml:space="preserve">من التحق بالعمل ولم يُسجَّل تأمينياً بعد.</w:t>
      </w:r>
    </w:p>
    <w:p>
      <w:pPr>
        <w:pStyle w:val="ListParagraph"/>
        <w:numPr>
          <w:ilvl w:val="0"/>
          <w:numId w:val="2"/>
        </w:numPr>
        <w:bidi/>
        <w:spacing w:after="90" w:line="300"/>
        <w:jc w:val="start"/>
      </w:pPr>
      <w:r>
        <w:rPr>
          <w:rFonts w:ascii="Arial" w:cs="Arial" w:eastAsia="Arial" w:hAnsi="Arial"/>
          <w:color w:val="1F2937"/>
          <w:sz w:val="22"/>
          <w:szCs w:val="22"/>
          <w:rtl/>
        </w:rPr>
        <w:t xml:space="preserve">من انتهت خدمته ولم يُقدَّم عنه إخطار الخروج، فيستمر الاشتراك محسوباً على المنشأة بلا مقابل.</w:t>
      </w:r>
    </w:p>
    <w:p>
      <w:pPr>
        <w:pBdr>
          <w:top w:val="single" w:color="E5E7EB" w:sz="2"/>
          <w:bottom w:val="single" w:color="E5E7EB" w:sz="2"/>
          <w:left w:val="single" w:color="E5E7EB" w:sz="2"/>
          <w:right w:val="single" w:color="0E6B63" w:sz="12"/>
        </w:pBdr>
        <w:shd w:fill="F3F4F6" w:val="clear"/>
        <w:bidi/>
        <w:spacing w:after="200" w:before="160" w:line="300"/>
        <w:jc w:val="start"/>
      </w:pPr>
      <w:r>
        <w:rPr>
          <w:rFonts w:ascii="Arial" w:cs="Arial" w:eastAsia="Arial" w:hAnsi="Arial"/>
          <w:color w:val="374151"/>
          <w:sz w:val="20"/>
          <w:szCs w:val="20"/>
          <w:rtl/>
        </w:rPr>
        <w:t xml:space="preserve">القائمة الثانية لا يشتكي منها أحد، لأن الخطأ فيها ليس في غير صالح الهيئة — فتبقى سنوات دون أن تُكتشف. وهي بالضبط ما يجعل المراجعة الشهرية أرخص من المطابقة السنوية.</w:t>
      </w:r>
    </w:p>
    <w:p>
      <w:pPr>
        <w:pStyle w:val="Heading2"/>
        <w:bidi/>
        <w:spacing w:after="140" w:before="300"/>
        <w:jc w:val="start"/>
      </w:pPr>
      <w:r>
        <w:rPr>
          <w:rFonts w:ascii="Arial" w:cs="Arial" w:eastAsia="Arial" w:hAnsi="Arial"/>
          <w:b/>
          <w:bCs/>
          <w:color w:val="0E6B63"/>
          <w:sz w:val="26"/>
          <w:szCs w:val="26"/>
          <w:rtl/>
        </w:rPr>
        <w:t xml:space="preserve">قائمة تحقّق قبل التسليم</w:t>
      </w:r>
    </w:p>
    <w:p>
      <w:pPr>
        <w:pStyle w:val="ListParagraph"/>
        <w:numPr>
          <w:ilvl w:val="0"/>
          <w:numId w:val="2"/>
        </w:numPr>
        <w:bidi/>
        <w:spacing w:after="90" w:line="300"/>
        <w:jc w:val="start"/>
      </w:pPr>
      <w:r>
        <w:rPr>
          <w:rFonts w:ascii="Arial" w:cs="Arial" w:eastAsia="Arial" w:hAnsi="Arial"/>
          <w:color w:val="1F2937"/>
          <w:sz w:val="22"/>
          <w:szCs w:val="22"/>
          <w:rtl/>
        </w:rPr>
        <w:t xml:space="preserve">الاسم مطابق للبطاقة حرفاً بحرف.</w:t>
      </w:r>
    </w:p>
    <w:p>
      <w:pPr>
        <w:pStyle w:val="ListParagraph"/>
        <w:numPr>
          <w:ilvl w:val="0"/>
          <w:numId w:val="2"/>
        </w:numPr>
        <w:bidi/>
        <w:spacing w:after="90" w:line="300"/>
        <w:jc w:val="start"/>
      </w:pPr>
      <w:r>
        <w:rPr>
          <w:rFonts w:ascii="Arial" w:cs="Arial" w:eastAsia="Arial" w:hAnsi="Arial"/>
          <w:color w:val="1F2937"/>
          <w:sz w:val="22"/>
          <w:szCs w:val="22"/>
          <w:rtl/>
        </w:rPr>
        <w:t xml:space="preserve">الرقم القومي مراجَع رقماً رقماً.</w:t>
      </w:r>
    </w:p>
    <w:p>
      <w:pPr>
        <w:pStyle w:val="ListParagraph"/>
        <w:numPr>
          <w:ilvl w:val="0"/>
          <w:numId w:val="2"/>
        </w:numPr>
        <w:bidi/>
        <w:spacing w:after="90" w:line="300"/>
        <w:jc w:val="start"/>
      </w:pPr>
      <w:r>
        <w:rPr>
          <w:rFonts w:ascii="Arial" w:cs="Arial" w:eastAsia="Arial" w:hAnsi="Arial"/>
          <w:color w:val="1F2937"/>
          <w:sz w:val="22"/>
          <w:szCs w:val="22"/>
          <w:rtl/>
        </w:rPr>
        <w:t xml:space="preserve">تاريخ الالتحاق هو أول يوم عمل فعلي.</w:t>
      </w:r>
    </w:p>
    <w:p>
      <w:pPr>
        <w:pStyle w:val="ListParagraph"/>
        <w:numPr>
          <w:ilvl w:val="0"/>
          <w:numId w:val="2"/>
        </w:numPr>
        <w:bidi/>
        <w:spacing w:after="90" w:line="300"/>
        <w:jc w:val="start"/>
      </w:pPr>
      <w:r>
        <w:rPr>
          <w:rFonts w:ascii="Arial" w:cs="Arial" w:eastAsia="Arial" w:hAnsi="Arial"/>
          <w:color w:val="1F2937"/>
          <w:sz w:val="22"/>
          <w:szCs w:val="22"/>
          <w:rtl/>
        </w:rPr>
        <w:t xml:space="preserve">الأجر مراجَع على قواعد الأجر التأميني وحدوده السارية.</w:t>
      </w:r>
    </w:p>
    <w:p>
      <w:pPr>
        <w:pStyle w:val="ListParagraph"/>
        <w:numPr>
          <w:ilvl w:val="0"/>
          <w:numId w:val="2"/>
        </w:numPr>
        <w:bidi/>
        <w:spacing w:after="90" w:line="300"/>
        <w:jc w:val="start"/>
      </w:pPr>
      <w:r>
        <w:rPr>
          <w:rFonts w:ascii="Arial" w:cs="Arial" w:eastAsia="Arial" w:hAnsi="Arial"/>
          <w:color w:val="1F2937"/>
          <w:sz w:val="22"/>
          <w:szCs w:val="22"/>
          <w:rtl/>
        </w:rPr>
        <w:t xml:space="preserve">الرقم التأميني السابق مثبت إن وُجد.</w:t>
      </w:r>
    </w:p>
    <w:p>
      <w:pPr>
        <w:pStyle w:val="ListParagraph"/>
        <w:numPr>
          <w:ilvl w:val="0"/>
          <w:numId w:val="2"/>
        </w:numPr>
        <w:bidi/>
        <w:spacing w:after="90" w:line="300"/>
        <w:jc w:val="start"/>
      </w:pPr>
      <w:r>
        <w:rPr>
          <w:rFonts w:ascii="Arial" w:cs="Arial" w:eastAsia="Arial" w:hAnsi="Arial"/>
          <w:color w:val="1F2937"/>
          <w:sz w:val="22"/>
          <w:szCs w:val="22"/>
          <w:rtl/>
        </w:rPr>
        <w:t xml:space="preserve">المرفقات كاملة.</w:t>
      </w:r>
    </w:p>
    <w:p>
      <w:pPr>
        <w:pStyle w:val="ListParagraph"/>
        <w:numPr>
          <w:ilvl w:val="0"/>
          <w:numId w:val="2"/>
        </w:numPr>
        <w:bidi/>
        <w:spacing w:after="90" w:line="300"/>
        <w:jc w:val="start"/>
      </w:pPr>
      <w:r>
        <w:rPr>
          <w:rFonts w:ascii="Arial" w:cs="Arial" w:eastAsia="Arial" w:hAnsi="Arial"/>
          <w:color w:val="1F2937"/>
          <w:sz w:val="22"/>
          <w:szCs w:val="22"/>
          <w:rtl/>
        </w:rPr>
        <w:t xml:space="preserve">نسخة محفوظة لديك قبل التسليم.</w:t>
      </w:r>
    </w:p>
    <w:p>
      <w:pPr>
        <w:bidi/>
        <w:spacing w:after="120"/>
        <w:jc w:val="start"/>
      </w:pPr>
    </w:p>
    <w:p>
      <w:pPr>
        <w:pBdr>
          <w:top w:val="single" w:color="E5E7EB" w:sz="4"/>
        </w:pBdr>
        <w:bidi/>
        <w:spacing w:before="240"/>
        <w:jc w:val="start"/>
      </w:pPr>
      <w:r>
        <w:rPr>
          <w:rFonts w:ascii="Arial" w:cs="Arial" w:eastAsia="Arial" w:hAnsi="Arial"/>
          <w:i/>
          <w:iCs/>
          <w:color w:val="6B7280"/>
          <w:sz w:val="18"/>
          <w:szCs w:val="18"/>
          <w:rtl/>
        </w:rPr>
        <w:t xml:space="preserve">نموذج استرشادي من Nova HR — novahrs.com. راجعه مع مستشارك القانوني قبل الاعتماد، فالصياغة النهائية تعتمد على نشاط الشركة ولائحتها الداخلية والتشريعات السارية وقت التوقيع.</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start="360" w:hanging="200"/>
      </w:pPr>
    </w:lvl>
  </w:abstractNum>
  <w:abstractNum w:abstractNumId="3" w15:restartNumberingAfterBreak="0">
    <w:multiLevelType w:val="hybridMultilevel"/>
    <w:lvl w:ilvl="0" w15:tentative="1">
      <w:start w:val="1"/>
      <w:numFmt w:val="decimal"/>
      <w:lvlText w:val="%1."/>
      <w:lvlJc w:val="start"/>
      <w:pPr>
        <w:ind w:start="360" w:hanging="260"/>
      </w:pPr>
    </w:lvl>
  </w:abstractNum>
  <w:abstractNum w:abstractNumId="4" w15:restartNumberingAfterBreak="0">
    <w:multiLevelType w:val="hybridMultilevel"/>
    <w:lvl w:ilvl="0" w15:tentative="1">
      <w:start w:val="1"/>
      <w:numFmt w:val="decimal"/>
      <w:lvlText w:val="%1."/>
      <w:lvlJc w:val="start"/>
      <w:pPr>
        <w:ind w:start="360" w:hanging="260"/>
      </w:pPr>
    </w:lvl>
  </w:abstractNum>
  <w:abstractNum w:abstractNumId="5" w15:restartNumberingAfterBreak="0">
    <w:multiLevelType w:val="hybridMultilevel"/>
    <w:lvl w:ilvl="0" w15:tentative="1">
      <w:start w:val="1"/>
      <w:numFmt w:val="decimal"/>
      <w:lvlText w:val="%1."/>
      <w:lvlJc w:val="start"/>
      <w:pPr>
        <w:ind w:start="360" w:hanging="260"/>
      </w:pPr>
    </w:lvl>
  </w:abstractNum>
  <w:abstractNum w:abstractNumId="6" w15:restartNumberingAfterBreak="0">
    <w:multiLevelType w:val="hybridMultilevel"/>
    <w:lvl w:ilvl="0" w15:tentative="1">
      <w:start w:val="1"/>
      <w:numFmt w:val="decimal"/>
      <w:lvlText w:val="%1."/>
      <w:lvlJc w:val="start"/>
      <w:pPr>
        <w:ind w:start="360" w:hanging="260"/>
      </w:pPr>
    </w:lvl>
  </w:abstractNum>
  <w:abstractNum w:abstractNumId="7" w15:restartNumberingAfterBreak="0">
    <w:multiLevelType w:val="hybridMultilevel"/>
    <w:lvl w:ilvl="0" w15:tentative="1">
      <w:start w:val="1"/>
      <w:numFmt w:val="decimal"/>
      <w:lvlText w:val="%1."/>
      <w:lvlJc w:val="start"/>
      <w:pPr>
        <w:ind w:start="360" w:hanging="260"/>
      </w:pPr>
    </w:lvl>
  </w:abstractNum>
  <w:abstractNum w:abstractNumId="8" w15:restartNumberingAfterBreak="0">
    <w:multiLevelType w:val="hybridMultilevel"/>
    <w:lvl w:ilvl="0" w15:tentative="1">
      <w:start w:val="1"/>
      <w:numFmt w:val="decimal"/>
      <w:lvlText w:val="%1."/>
      <w:lvlJc w:val="start"/>
      <w:pPr>
        <w:ind w:start="360" w:hanging="260"/>
      </w:pPr>
    </w:lvl>
  </w:abstractNum>
  <w:num w:numId="1">
    <w:abstractNumId w:val="1"/>
    <w:lvlOverride w:ilvl="0">
      <w:startOverride w:val="1"/>
    </w:lvlOverride>
  </w:num>
  <w:num w:numId="2">
    <w:abstractNumId w:val="2"/>
    <w:lvlOverride w:ilvl="0">
      <w:startOverride w:val="1"/>
    </w:lvlOverride>
  </w:num>
  <w:num w:numId="3">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bidi/>
        <w:jc w:val="star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2026-08-17T19:06:46.092Z</dcterms:created>
  <dcterms:modified xsi:type="dcterms:W3CDTF">2026-08-17T19:06:46.092Z</dcterms:modified>
</cp:coreProperties>
</file>

<file path=docProps/custom.xml><?xml version="1.0" encoding="utf-8"?>
<Properties xmlns="http://schemas.openxmlformats.org/officeDocument/2006/custom-properties" xmlns:vt="http://schemas.openxmlformats.org/officeDocument/2006/docPropsVTypes"/>
</file>