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bidi/>
        <w:spacing w:after="240"/>
        <w:jc w:val="start"/>
      </w:pPr>
      <w:r>
        <w:rPr>
          <w:rFonts w:ascii="Arial" w:cs="Arial" w:eastAsia="Arial" w:hAnsi="Arial"/>
          <w:b/>
          <w:bCs/>
          <w:color w:val="0E6B63"/>
          <w:sz w:val="32"/>
          <w:szCs w:val="32"/>
          <w:rtl/>
        </w:rPr>
        <w:t xml:space="preserve">لائحة الجزاءات — نموذج استرشادي</w:t>
      </w:r>
    </w:p>
    <w:p>
      <w:pPr>
        <w:bidi/>
        <w:spacing w:after="200" w:line="300"/>
        <w:jc w:val="start"/>
      </w:pPr>
      <w:r>
        <w:rPr>
          <w:rFonts w:ascii="Arial" w:cs="Arial" w:eastAsia="Arial" w:hAnsi="Arial"/>
          <w:color w:val="1F2937"/>
          <w:sz w:val="22"/>
          <w:szCs w:val="22"/>
          <w:rtl/>
        </w:rPr>
        <w:t xml:space="preserve">تسري هذه اللائحة على جميع العاملين بشركة …………………………… اعتباراً من ……/……/…………م، بعد اعتمادها واستيفاء إجراءات إشهارها وإعلانها للعاملين وفقاً للقانون.</w:t>
      </w:r>
    </w:p>
    <w:p>
      <w:pPr>
        <w:pBdr>
          <w:top w:val="single" w:color="E5E7EB" w:sz="2"/>
          <w:bottom w:val="single" w:color="E5E7EB" w:sz="2"/>
          <w:left w:val="single" w:color="E5E7EB" w:sz="2"/>
          <w:right w:val="single" w:color="0E6B63" w:sz="12"/>
        </w:pBdr>
        <w:shd w:fill="F3F4F6" w:val="clear"/>
        <w:bidi/>
        <w:spacing w:after="200" w:before="160" w:line="300"/>
        <w:jc w:val="start"/>
      </w:pPr>
      <w:r>
        <w:rPr>
          <w:rFonts w:ascii="Arial" w:cs="Arial" w:eastAsia="Arial" w:hAnsi="Arial"/>
          <w:color w:val="374151"/>
          <w:sz w:val="20"/>
          <w:szCs w:val="20"/>
          <w:rtl/>
        </w:rPr>
        <w:t xml:space="preserve">لائحة الجزاءات لا تكون نافذة بمجرد كتابتها. اعتمادها وإعلانها للعاملين شرط لصحة أي جزاء يُوقَّع بموجبها — واللائحة الموجودة في درج ولم يرها أحد لا يمكن الاحتجاج بها.</w:t>
      </w:r>
    </w:p>
    <w:p>
      <w:pPr>
        <w:pStyle w:val="Heading2"/>
        <w:bidi/>
        <w:spacing w:after="140" w:before="300"/>
        <w:jc w:val="start"/>
      </w:pPr>
      <w:r>
        <w:rPr>
          <w:rFonts w:ascii="Arial" w:cs="Arial" w:eastAsia="Arial" w:hAnsi="Arial"/>
          <w:b/>
          <w:bCs/>
          <w:color w:val="0E6B63"/>
          <w:sz w:val="26"/>
          <w:szCs w:val="26"/>
          <w:rtl/>
        </w:rPr>
        <w:t xml:space="preserve">أولاً: أهداف اللائحة</w:t>
      </w:r>
    </w:p>
    <w:p>
      <w:pPr>
        <w:pStyle w:val="ListParagraph"/>
        <w:numPr>
          <w:ilvl w:val="0"/>
          <w:numId w:val="2"/>
        </w:numPr>
        <w:bidi/>
        <w:spacing w:after="90" w:line="300"/>
        <w:jc w:val="start"/>
      </w:pPr>
      <w:r>
        <w:rPr>
          <w:rFonts w:ascii="Arial" w:cs="Arial" w:eastAsia="Arial" w:hAnsi="Arial"/>
          <w:color w:val="1F2937"/>
          <w:sz w:val="22"/>
          <w:szCs w:val="22"/>
          <w:rtl/>
        </w:rPr>
        <w:t xml:space="preserve">تحديد المخالفات وجزاءاتها بشكل معلن ومعروف لكل العاملين مسبقاً.</w:t>
      </w:r>
    </w:p>
    <w:p>
      <w:pPr>
        <w:pStyle w:val="ListParagraph"/>
        <w:numPr>
          <w:ilvl w:val="0"/>
          <w:numId w:val="2"/>
        </w:numPr>
        <w:bidi/>
        <w:spacing w:after="90" w:line="300"/>
        <w:jc w:val="start"/>
      </w:pPr>
      <w:r>
        <w:rPr>
          <w:rFonts w:ascii="Arial" w:cs="Arial" w:eastAsia="Arial" w:hAnsi="Arial"/>
          <w:color w:val="1F2937"/>
          <w:sz w:val="22"/>
          <w:szCs w:val="22"/>
          <w:rtl/>
        </w:rPr>
        <w:t xml:space="preserve">ضمان معاملة الحالات المتماثلة معاملة واحدة، فلا يختلف الجزاء باختلاف من يوقّعه.</w:t>
      </w:r>
    </w:p>
    <w:p>
      <w:pPr>
        <w:pStyle w:val="ListParagraph"/>
        <w:numPr>
          <w:ilvl w:val="0"/>
          <w:numId w:val="2"/>
        </w:numPr>
        <w:bidi/>
        <w:spacing w:after="90" w:line="300"/>
        <w:jc w:val="start"/>
      </w:pPr>
      <w:r>
        <w:rPr>
          <w:rFonts w:ascii="Arial" w:cs="Arial" w:eastAsia="Arial" w:hAnsi="Arial"/>
          <w:color w:val="1F2937"/>
          <w:sz w:val="22"/>
          <w:szCs w:val="22"/>
          <w:rtl/>
        </w:rPr>
        <w:t xml:space="preserve">توفير تدرّج واضح يمنح فرصة للتصحيح قبل التصعيد.</w:t>
      </w:r>
    </w:p>
    <w:p>
      <w:pPr>
        <w:pStyle w:val="Heading2"/>
        <w:bidi/>
        <w:spacing w:after="140" w:before="300"/>
        <w:jc w:val="start"/>
      </w:pPr>
      <w:r>
        <w:rPr>
          <w:rFonts w:ascii="Arial" w:cs="Arial" w:eastAsia="Arial" w:hAnsi="Arial"/>
          <w:b/>
          <w:bCs/>
          <w:color w:val="0E6B63"/>
          <w:sz w:val="26"/>
          <w:szCs w:val="26"/>
          <w:rtl/>
        </w:rPr>
        <w:t xml:space="preserve">ثانياً: مبادئ توقيع الجزاء</w:t>
      </w:r>
    </w:p>
    <w:p>
      <w:pPr>
        <w:pStyle w:val="ListParagraph"/>
        <w:numPr>
          <w:ilvl w:val="0"/>
          <w:numId w:val="3"/>
        </w:numPr>
        <w:bidi/>
        <w:spacing w:after="90" w:line="300"/>
        <w:jc w:val="start"/>
      </w:pPr>
      <w:r>
        <w:rPr>
          <w:rFonts w:ascii="Arial" w:cs="Arial" w:eastAsia="Arial" w:hAnsi="Arial"/>
          <w:color w:val="1F2937"/>
          <w:sz w:val="22"/>
          <w:szCs w:val="22"/>
          <w:rtl/>
        </w:rPr>
        <w:t xml:space="preserve">لا جزاء دون مخالفة منصوص عليها في هذه اللائحة.</w:t>
      </w:r>
    </w:p>
    <w:p>
      <w:pPr>
        <w:pStyle w:val="ListParagraph"/>
        <w:numPr>
          <w:ilvl w:val="0"/>
          <w:numId w:val="3"/>
        </w:numPr>
        <w:bidi/>
        <w:spacing w:after="90" w:line="300"/>
        <w:jc w:val="start"/>
      </w:pPr>
      <w:r>
        <w:rPr>
          <w:rFonts w:ascii="Arial" w:cs="Arial" w:eastAsia="Arial" w:hAnsi="Arial"/>
          <w:color w:val="1F2937"/>
          <w:sz w:val="22"/>
          <w:szCs w:val="22"/>
          <w:rtl/>
        </w:rPr>
        <w:t xml:space="preserve">لا يُوقَّع جزاء إلا بعد تحقيق يُواجَه فيه العامل بما نُسب إليه ويُمكَّن من إبداء دفاعه، ويُثبت ذلك كتابةً.</w:t>
      </w:r>
    </w:p>
    <w:p>
      <w:pPr>
        <w:pStyle w:val="ListParagraph"/>
        <w:numPr>
          <w:ilvl w:val="0"/>
          <w:numId w:val="3"/>
        </w:numPr>
        <w:bidi/>
        <w:spacing w:after="90" w:line="300"/>
        <w:jc w:val="start"/>
      </w:pPr>
      <w:r>
        <w:rPr>
          <w:rFonts w:ascii="Arial" w:cs="Arial" w:eastAsia="Arial" w:hAnsi="Arial"/>
          <w:color w:val="1F2937"/>
          <w:sz w:val="22"/>
          <w:szCs w:val="22"/>
          <w:rtl/>
        </w:rPr>
        <w:t xml:space="preserve">لا يُوقَّع أكثر من جزاء واحد على المخالفة الواحدة.</w:t>
      </w:r>
    </w:p>
    <w:p>
      <w:pPr>
        <w:pStyle w:val="ListParagraph"/>
        <w:numPr>
          <w:ilvl w:val="0"/>
          <w:numId w:val="3"/>
        </w:numPr>
        <w:bidi/>
        <w:spacing w:after="90" w:line="300"/>
        <w:jc w:val="start"/>
      </w:pPr>
      <w:r>
        <w:rPr>
          <w:rFonts w:ascii="Arial" w:cs="Arial" w:eastAsia="Arial" w:hAnsi="Arial"/>
          <w:color w:val="1F2937"/>
          <w:sz w:val="22"/>
          <w:szCs w:val="22"/>
          <w:rtl/>
        </w:rPr>
        <w:t xml:space="preserve">يراعى التدرّج في الجزاء عند تكرار المخالفة ذاتها خلال المدة المحددة قرين كل مخالفة.</w:t>
      </w:r>
    </w:p>
    <w:p>
      <w:pPr>
        <w:pStyle w:val="ListParagraph"/>
        <w:numPr>
          <w:ilvl w:val="0"/>
          <w:numId w:val="3"/>
        </w:numPr>
        <w:bidi/>
        <w:spacing w:after="90" w:line="300"/>
        <w:jc w:val="start"/>
      </w:pPr>
      <w:r>
        <w:rPr>
          <w:rFonts w:ascii="Arial" w:cs="Arial" w:eastAsia="Arial" w:hAnsi="Arial"/>
          <w:color w:val="1F2937"/>
          <w:sz w:val="22"/>
          <w:szCs w:val="22"/>
          <w:rtl/>
        </w:rPr>
        <w:t xml:space="preserve">يُخطر العامل بالجزاء كتابةً، وله حق التظلم وفقاً للإجراء الموضح في هذه اللائحة.</w:t>
      </w:r>
    </w:p>
    <w:p>
      <w:pPr>
        <w:pBdr>
          <w:top w:val="single" w:color="E5E7EB" w:sz="2"/>
          <w:bottom w:val="single" w:color="E5E7EB" w:sz="2"/>
          <w:left w:val="single" w:color="E5E7EB" w:sz="2"/>
          <w:right w:val="single" w:color="0E6B63" w:sz="12"/>
        </w:pBdr>
        <w:shd w:fill="F3F4F6" w:val="clear"/>
        <w:bidi/>
        <w:spacing w:after="200" w:before="160" w:line="300"/>
        <w:jc w:val="start"/>
      </w:pPr>
      <w:r>
        <w:rPr>
          <w:rFonts w:ascii="Arial" w:cs="Arial" w:eastAsia="Arial" w:hAnsi="Arial"/>
          <w:color w:val="374151"/>
          <w:sz w:val="20"/>
          <w:szCs w:val="20"/>
          <w:rtl/>
        </w:rPr>
        <w:t xml:space="preserve">التدرّج ليس مجاملة إدارية بل شرط لصحة الجزاء. والجزاء الذي لا يقوم على تدرّج موثق يصعب الدفاع عنه إذا طُعن فيه — ووقتها لا تسقط العقوبة وحدها بل يُشكَّك في السجل التأديبي كله.</w:t>
      </w:r>
    </w:p>
    <w:p>
      <w:pPr>
        <w:pStyle w:val="Heading2"/>
        <w:bidi/>
        <w:spacing w:after="140" w:before="300"/>
        <w:jc w:val="start"/>
      </w:pPr>
      <w:r>
        <w:rPr>
          <w:rFonts w:ascii="Arial" w:cs="Arial" w:eastAsia="Arial" w:hAnsi="Arial"/>
          <w:b/>
          <w:bCs/>
          <w:color w:val="0E6B63"/>
          <w:sz w:val="26"/>
          <w:szCs w:val="26"/>
          <w:rtl/>
        </w:rPr>
        <w:t xml:space="preserve">ثالثاً: أنواع الجزاءات</w:t>
      </w:r>
    </w:p>
    <w:p>
      <w:pPr>
        <w:pStyle w:val="ListParagraph"/>
        <w:numPr>
          <w:ilvl w:val="0"/>
          <w:numId w:val="4"/>
        </w:numPr>
        <w:bidi/>
        <w:spacing w:after="90" w:line="300"/>
        <w:jc w:val="start"/>
      </w:pPr>
      <w:r>
        <w:rPr>
          <w:rFonts w:ascii="Arial" w:cs="Arial" w:eastAsia="Arial" w:hAnsi="Arial"/>
          <w:color w:val="1F2937"/>
          <w:sz w:val="22"/>
          <w:szCs w:val="22"/>
          <w:rtl/>
        </w:rPr>
        <w:t xml:space="preserve">لفت نظر شفهي يُثبت في ملف العامل.</w:t>
      </w:r>
    </w:p>
    <w:p>
      <w:pPr>
        <w:pStyle w:val="ListParagraph"/>
        <w:numPr>
          <w:ilvl w:val="0"/>
          <w:numId w:val="4"/>
        </w:numPr>
        <w:bidi/>
        <w:spacing w:after="90" w:line="300"/>
        <w:jc w:val="start"/>
      </w:pPr>
      <w:r>
        <w:rPr>
          <w:rFonts w:ascii="Arial" w:cs="Arial" w:eastAsia="Arial" w:hAnsi="Arial"/>
          <w:color w:val="1F2937"/>
          <w:sz w:val="22"/>
          <w:szCs w:val="22"/>
          <w:rtl/>
        </w:rPr>
        <w:t xml:space="preserve">إنذار كتابي.</w:t>
      </w:r>
    </w:p>
    <w:p>
      <w:pPr>
        <w:pStyle w:val="ListParagraph"/>
        <w:numPr>
          <w:ilvl w:val="0"/>
          <w:numId w:val="4"/>
        </w:numPr>
        <w:bidi/>
        <w:spacing w:after="90" w:line="300"/>
        <w:jc w:val="start"/>
      </w:pPr>
      <w:r>
        <w:rPr>
          <w:rFonts w:ascii="Arial" w:cs="Arial" w:eastAsia="Arial" w:hAnsi="Arial"/>
          <w:color w:val="1F2937"/>
          <w:sz w:val="22"/>
          <w:szCs w:val="22"/>
          <w:rtl/>
        </w:rPr>
        <w:t xml:space="preserve">الخصم من الأجر في حدود ما يجيزه القانون.</w:t>
      </w:r>
    </w:p>
    <w:p>
      <w:pPr>
        <w:pStyle w:val="ListParagraph"/>
        <w:numPr>
          <w:ilvl w:val="0"/>
          <w:numId w:val="4"/>
        </w:numPr>
        <w:bidi/>
        <w:spacing w:after="90" w:line="300"/>
        <w:jc w:val="start"/>
      </w:pPr>
      <w:r>
        <w:rPr>
          <w:rFonts w:ascii="Arial" w:cs="Arial" w:eastAsia="Arial" w:hAnsi="Arial"/>
          <w:color w:val="1F2937"/>
          <w:sz w:val="22"/>
          <w:szCs w:val="22"/>
          <w:rtl/>
        </w:rPr>
        <w:t xml:space="preserve">الحرمان من علاوة أو تأجيلها.</w:t>
      </w:r>
    </w:p>
    <w:p>
      <w:pPr>
        <w:pStyle w:val="ListParagraph"/>
        <w:numPr>
          <w:ilvl w:val="0"/>
          <w:numId w:val="4"/>
        </w:numPr>
        <w:bidi/>
        <w:spacing w:after="90" w:line="300"/>
        <w:jc w:val="start"/>
      </w:pPr>
      <w:r>
        <w:rPr>
          <w:rFonts w:ascii="Arial" w:cs="Arial" w:eastAsia="Arial" w:hAnsi="Arial"/>
          <w:color w:val="1F2937"/>
          <w:sz w:val="22"/>
          <w:szCs w:val="22"/>
          <w:rtl/>
        </w:rPr>
        <w:t xml:space="preserve">الوقف عن العمل مع الخصم في حدود ما يجيزه القانون.</w:t>
      </w:r>
    </w:p>
    <w:p>
      <w:pPr>
        <w:pStyle w:val="ListParagraph"/>
        <w:numPr>
          <w:ilvl w:val="0"/>
          <w:numId w:val="4"/>
        </w:numPr>
        <w:bidi/>
        <w:spacing w:after="90" w:line="300"/>
        <w:jc w:val="start"/>
      </w:pPr>
      <w:r>
        <w:rPr>
          <w:rFonts w:ascii="Arial" w:cs="Arial" w:eastAsia="Arial" w:hAnsi="Arial"/>
          <w:color w:val="1F2937"/>
          <w:sz w:val="22"/>
          <w:szCs w:val="22"/>
          <w:rtl/>
        </w:rPr>
        <w:t xml:space="preserve">الفصل من الخدمة في الحالات التي يجيزها القانون.</w:t>
      </w:r>
    </w:p>
    <w:p>
      <w:pPr>
        <w:pBdr>
          <w:top w:val="single" w:color="E5E7EB" w:sz="2"/>
          <w:bottom w:val="single" w:color="E5E7EB" w:sz="2"/>
          <w:left w:val="single" w:color="E5E7EB" w:sz="2"/>
          <w:right w:val="single" w:color="0E6B63" w:sz="12"/>
        </w:pBdr>
        <w:shd w:fill="F3F4F6" w:val="clear"/>
        <w:bidi/>
        <w:spacing w:after="200" w:before="160" w:line="300"/>
        <w:jc w:val="start"/>
      </w:pPr>
      <w:r>
        <w:rPr>
          <w:rFonts w:ascii="Arial" w:cs="Arial" w:eastAsia="Arial" w:hAnsi="Arial"/>
          <w:color w:val="374151"/>
          <w:sz w:val="20"/>
          <w:szCs w:val="20"/>
          <w:rtl/>
        </w:rPr>
        <w:t xml:space="preserve">حدود الخصم من الأجر ومدد الوقف والحالات التي يجوز فيها الفصل يحكمها قانون العمل السارِي. أدرِج الحدود الرقمية بعد مراجعتها مع مستشارك القانوني على النص النافذ وقت الاعتماد.</w:t>
      </w:r>
    </w:p>
    <w:p>
      <w:pPr>
        <w:pStyle w:val="Heading2"/>
        <w:bidi/>
        <w:spacing w:after="140" w:before="300"/>
        <w:jc w:val="start"/>
      </w:pPr>
      <w:r>
        <w:rPr>
          <w:rFonts w:ascii="Arial" w:cs="Arial" w:eastAsia="Arial" w:hAnsi="Arial"/>
          <w:b/>
          <w:bCs/>
          <w:color w:val="0E6B63"/>
          <w:sz w:val="26"/>
          <w:szCs w:val="26"/>
          <w:rtl/>
        </w:rPr>
        <w:t xml:space="preserve">رابعاً: جدول المخالفات والجزاءات</w:t>
      </w:r>
    </w:p>
    <w:p>
      <w:pPr>
        <w:bidi/>
        <w:spacing w:after="140" w:line="300"/>
        <w:jc w:val="start"/>
      </w:pPr>
      <w:r>
        <w:rPr>
          <w:rFonts w:ascii="Arial" w:cs="Arial" w:eastAsia="Arial" w:hAnsi="Arial"/>
          <w:color w:val="1F2937"/>
          <w:sz w:val="22"/>
          <w:szCs w:val="22"/>
          <w:rtl/>
        </w:rPr>
        <w:t xml:space="preserve">يُستكمل الجدول التالي بما يتناسب مع نشاط الشركة، مع مراعاة ألا يتجاوز أي جزاء ما يجيزه القانون:</w:t>
      </w:r>
    </w:p>
    <w:p>
      <w:pPr>
        <w:bidi/>
        <w:spacing w:after="120"/>
        <w:jc w:val="start"/>
      </w:pPr>
    </w:p>
    <w:tbl>
      <w:tblPr>
        <w:bidiVisual/>
        <w:tblW w:type="dxa" w:w="9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1500"/>
        <w:gridCol w:w="1500"/>
        <w:gridCol w:w="1500"/>
        <w:gridCol w:w="1600"/>
      </w:tblGrid>
      <w:tr>
        <w:trPr>
          <w:tblHeader/>
        </w:trPr>
        <w:tc>
          <w:tcPr>
            <w:tcW w:type="dxa" w:w="3000"/>
            <w:shd w:fill="E8F3F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b/>
                <w:bCs/>
                <w:color w:val="0E6B63"/>
                <w:sz w:val="20"/>
                <w:szCs w:val="20"/>
                <w:rtl/>
              </w:rPr>
              <w:t xml:space="preserve">المخالفة</w:t>
            </w:r>
          </w:p>
        </w:tc>
        <w:tc>
          <w:tcPr>
            <w:tcW w:type="dxa" w:w="1500"/>
            <w:shd w:fill="E8F3F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b/>
                <w:bCs/>
                <w:color w:val="0E6B63"/>
                <w:sz w:val="20"/>
                <w:szCs w:val="20"/>
                <w:rtl/>
              </w:rPr>
              <w:t xml:space="preserve">المرة الأولى</w:t>
            </w:r>
          </w:p>
        </w:tc>
        <w:tc>
          <w:tcPr>
            <w:tcW w:type="dxa" w:w="1500"/>
            <w:shd w:fill="E8F3F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b/>
                <w:bCs/>
                <w:color w:val="0E6B63"/>
                <w:sz w:val="20"/>
                <w:szCs w:val="20"/>
                <w:rtl/>
              </w:rPr>
              <w:t xml:space="preserve">المرة الثانية</w:t>
            </w:r>
          </w:p>
        </w:tc>
        <w:tc>
          <w:tcPr>
            <w:tcW w:type="dxa" w:w="1500"/>
            <w:shd w:fill="E8F3F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b/>
                <w:bCs/>
                <w:color w:val="0E6B63"/>
                <w:sz w:val="20"/>
                <w:szCs w:val="20"/>
                <w:rtl/>
              </w:rPr>
              <w:t xml:space="preserve">المرة الثالثة</w:t>
            </w:r>
          </w:p>
        </w:tc>
        <w:tc>
          <w:tcPr>
            <w:tcW w:type="dxa" w:w="1600"/>
            <w:shd w:fill="E8F3F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b/>
                <w:bCs/>
                <w:color w:val="0E6B63"/>
                <w:sz w:val="20"/>
                <w:szCs w:val="20"/>
                <w:rtl/>
              </w:rPr>
              <w:t xml:space="preserve">مدة احتساب التكرار</w:t>
            </w:r>
          </w:p>
        </w:tc>
      </w:tr>
      <w:tr>
        <w:tc>
          <w:tcPr>
            <w:tcW w:type="dxa" w:w="30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التأخر عن موعد العمل دون إذن</w:t>
            </w:r>
          </w:p>
        </w:tc>
        <w:tc>
          <w:tcPr>
            <w:tcW w:type="dxa" w:w="1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لفت نظر</w:t>
            </w:r>
          </w:p>
        </w:tc>
        <w:tc>
          <w:tcPr>
            <w:tcW w:type="dxa" w:w="1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إنذار كتابي</w:t>
            </w:r>
          </w:p>
        </w:tc>
        <w:tc>
          <w:tcPr>
            <w:tcW w:type="dxa" w:w="1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خصم …………</w:t>
            </w:r>
          </w:p>
        </w:tc>
        <w:tc>
          <w:tcPr>
            <w:tcW w:type="dxa" w:w="16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……………</w:t>
            </w:r>
          </w:p>
        </w:tc>
      </w:tr>
      <w:tr>
        <w:tc>
          <w:tcPr>
            <w:tcW w:type="dxa" w:w="30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الغياب دون إذن أو عذر مقبول</w:t>
            </w:r>
          </w:p>
        </w:tc>
        <w:tc>
          <w:tcPr>
            <w:tcW w:type="dxa" w:w="1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إنذار كتابي</w:t>
            </w:r>
          </w:p>
        </w:tc>
        <w:tc>
          <w:tcPr>
            <w:tcW w:type="dxa" w:w="1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خصم …………</w:t>
            </w:r>
          </w:p>
        </w:tc>
        <w:tc>
          <w:tcPr>
            <w:tcW w:type="dxa" w:w="1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خصم …………</w:t>
            </w:r>
          </w:p>
        </w:tc>
        <w:tc>
          <w:tcPr>
            <w:tcW w:type="dxa" w:w="16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……………</w:t>
            </w:r>
          </w:p>
        </w:tc>
      </w:tr>
      <w:tr>
        <w:tc>
          <w:tcPr>
            <w:tcW w:type="dxa" w:w="30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ترك مكان العمل أثناء الدوام دون إذن</w:t>
            </w:r>
          </w:p>
        </w:tc>
        <w:tc>
          <w:tcPr>
            <w:tcW w:type="dxa" w:w="1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لفت نظر</w:t>
            </w:r>
          </w:p>
        </w:tc>
        <w:tc>
          <w:tcPr>
            <w:tcW w:type="dxa" w:w="1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إنذار كتابي</w:t>
            </w:r>
          </w:p>
        </w:tc>
        <w:tc>
          <w:tcPr>
            <w:tcW w:type="dxa" w:w="1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خصم …………</w:t>
            </w:r>
          </w:p>
        </w:tc>
        <w:tc>
          <w:tcPr>
            <w:tcW w:type="dxa" w:w="16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……………</w:t>
            </w:r>
          </w:p>
        </w:tc>
      </w:tr>
      <w:tr>
        <w:tc>
          <w:tcPr>
            <w:tcW w:type="dxa" w:w="30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عدم الالتزام بتعليمات السلامة</w:t>
            </w:r>
          </w:p>
        </w:tc>
        <w:tc>
          <w:tcPr>
            <w:tcW w:type="dxa" w:w="1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إنذار كتابي</w:t>
            </w:r>
          </w:p>
        </w:tc>
        <w:tc>
          <w:tcPr>
            <w:tcW w:type="dxa" w:w="1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خصم …………</w:t>
            </w:r>
          </w:p>
        </w:tc>
        <w:tc>
          <w:tcPr>
            <w:tcW w:type="dxa" w:w="1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خصم …………</w:t>
            </w:r>
          </w:p>
        </w:tc>
        <w:tc>
          <w:tcPr>
            <w:tcW w:type="dxa" w:w="16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……………</w:t>
            </w:r>
          </w:p>
        </w:tc>
      </w:tr>
      <w:tr>
        <w:tc>
          <w:tcPr>
            <w:tcW w:type="dxa" w:w="30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إهمال يترتب عليه ضرر بأدوات العمل</w:t>
            </w:r>
          </w:p>
        </w:tc>
        <w:tc>
          <w:tcPr>
            <w:tcW w:type="dxa" w:w="1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إنذار كتابي</w:t>
            </w:r>
          </w:p>
        </w:tc>
        <w:tc>
          <w:tcPr>
            <w:tcW w:type="dxa" w:w="1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خصم …………</w:t>
            </w:r>
          </w:p>
        </w:tc>
        <w:tc>
          <w:tcPr>
            <w:tcW w:type="dxa" w:w="1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………………</w:t>
            </w:r>
          </w:p>
        </w:tc>
        <w:tc>
          <w:tcPr>
            <w:tcW w:type="dxa" w:w="16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……………</w:t>
            </w:r>
          </w:p>
        </w:tc>
      </w:tr>
      <w:tr>
        <w:tc>
          <w:tcPr>
            <w:tcW w:type="dxa" w:w="30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……………………………………</w:t>
            </w:r>
          </w:p>
        </w:tc>
        <w:tc>
          <w:tcPr>
            <w:tcW w:type="dxa" w:w="1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……………</w:t>
            </w:r>
          </w:p>
        </w:tc>
        <w:tc>
          <w:tcPr>
            <w:tcW w:type="dxa" w:w="1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……………</w:t>
            </w:r>
          </w:p>
        </w:tc>
        <w:tc>
          <w:tcPr>
            <w:tcW w:type="dxa" w:w="1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……………</w:t>
            </w:r>
          </w:p>
        </w:tc>
        <w:tc>
          <w:tcPr>
            <w:tcW w:type="dxa" w:w="16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……………</w:t>
            </w:r>
          </w:p>
        </w:tc>
      </w:tr>
    </w:tbl>
    <w:p>
      <w:pPr>
        <w:bidi/>
        <w:spacing w:after="120"/>
        <w:jc w:val="start"/>
      </w:pPr>
    </w:p>
    <w:p>
      <w:pPr>
        <w:pBdr>
          <w:top w:val="single" w:color="E5E7EB" w:sz="2"/>
          <w:bottom w:val="single" w:color="E5E7EB" w:sz="2"/>
          <w:left w:val="single" w:color="E5E7EB" w:sz="2"/>
          <w:right w:val="single" w:color="0E6B63" w:sz="12"/>
        </w:pBdr>
        <w:shd w:fill="F3F4F6" w:val="clear"/>
        <w:bidi/>
        <w:spacing w:after="200" w:before="160" w:line="300"/>
        <w:jc w:val="start"/>
      </w:pPr>
      <w:r>
        <w:rPr>
          <w:rFonts w:ascii="Arial" w:cs="Arial" w:eastAsia="Arial" w:hAnsi="Arial"/>
          <w:color w:val="374151"/>
          <w:sz w:val="20"/>
          <w:szCs w:val="20"/>
          <w:rtl/>
        </w:rPr>
        <w:t xml:space="preserve">عمود «مدة احتساب التكرار» هو أهم عمود في الجدول وأكثره إغفالاً. بدونه لا يُعرف متى يُنسى التكرار، فيلاحق خطأ عابر عاملاً سنوات — أو يُلغى التدرّج عملياً لأن كل مرة تصبح الأولى. والمخالفات الخفيفة تناسبها مدة قصيرة تسمح بالتصحيح، والجسيمة مدة أطول.</w:t>
      </w:r>
    </w:p>
    <w:p>
      <w:pPr>
        <w:pStyle w:val="Heading2"/>
        <w:bidi/>
        <w:spacing w:after="140" w:before="300"/>
        <w:jc w:val="start"/>
      </w:pPr>
      <w:r>
        <w:rPr>
          <w:rFonts w:ascii="Arial" w:cs="Arial" w:eastAsia="Arial" w:hAnsi="Arial"/>
          <w:b/>
          <w:bCs/>
          <w:color w:val="0E6B63"/>
          <w:sz w:val="26"/>
          <w:szCs w:val="26"/>
          <w:rtl/>
        </w:rPr>
        <w:t xml:space="preserve">خامساً: إجراءات التحقيق</w:t>
      </w:r>
    </w:p>
    <w:p>
      <w:pPr>
        <w:pStyle w:val="ListParagraph"/>
        <w:numPr>
          <w:ilvl w:val="0"/>
          <w:numId w:val="5"/>
        </w:numPr>
        <w:bidi/>
        <w:spacing w:after="90" w:line="300"/>
        <w:jc w:val="start"/>
      </w:pPr>
      <w:r>
        <w:rPr>
          <w:rFonts w:ascii="Arial" w:cs="Arial" w:eastAsia="Arial" w:hAnsi="Arial"/>
          <w:color w:val="1F2937"/>
          <w:sz w:val="22"/>
          <w:szCs w:val="22"/>
          <w:rtl/>
        </w:rPr>
        <w:t xml:space="preserve">يُحرَّر محضر بواقعة المخالفة يتضمن تاريخها ووصفها ومن أبلغ عنها.</w:t>
      </w:r>
    </w:p>
    <w:p>
      <w:pPr>
        <w:pStyle w:val="ListParagraph"/>
        <w:numPr>
          <w:ilvl w:val="0"/>
          <w:numId w:val="5"/>
        </w:numPr>
        <w:bidi/>
        <w:spacing w:after="90" w:line="300"/>
        <w:jc w:val="start"/>
      </w:pPr>
      <w:r>
        <w:rPr>
          <w:rFonts w:ascii="Arial" w:cs="Arial" w:eastAsia="Arial" w:hAnsi="Arial"/>
          <w:color w:val="1F2937"/>
          <w:sz w:val="22"/>
          <w:szCs w:val="22"/>
          <w:rtl/>
        </w:rPr>
        <w:t xml:space="preserve">يُستدعى العامل للتحقيق ويُواجَه بما نُسب إليه، ويُدوَّن دفاعه كتابةً بحضوره.</w:t>
      </w:r>
    </w:p>
    <w:p>
      <w:pPr>
        <w:pStyle w:val="ListParagraph"/>
        <w:numPr>
          <w:ilvl w:val="0"/>
          <w:numId w:val="5"/>
        </w:numPr>
        <w:bidi/>
        <w:spacing w:after="90" w:line="300"/>
        <w:jc w:val="start"/>
      </w:pPr>
      <w:r>
        <w:rPr>
          <w:rFonts w:ascii="Arial" w:cs="Arial" w:eastAsia="Arial" w:hAnsi="Arial"/>
          <w:color w:val="1F2937"/>
          <w:sz w:val="22"/>
          <w:szCs w:val="22"/>
          <w:rtl/>
        </w:rPr>
        <w:t xml:space="preserve">تُسمَع أقوال الشهود إن وُجدوا وتُثبت في المحضر.</w:t>
      </w:r>
    </w:p>
    <w:p>
      <w:pPr>
        <w:pStyle w:val="ListParagraph"/>
        <w:numPr>
          <w:ilvl w:val="0"/>
          <w:numId w:val="5"/>
        </w:numPr>
        <w:bidi/>
        <w:spacing w:after="90" w:line="300"/>
        <w:jc w:val="start"/>
      </w:pPr>
      <w:r>
        <w:rPr>
          <w:rFonts w:ascii="Arial" w:cs="Arial" w:eastAsia="Arial" w:hAnsi="Arial"/>
          <w:color w:val="1F2937"/>
          <w:sz w:val="22"/>
          <w:szCs w:val="22"/>
          <w:rtl/>
        </w:rPr>
        <w:t xml:space="preserve">يُعرض المحضر على المختص لاتخاذ القرار المناسب في ضوء هذه اللائحة.</w:t>
      </w:r>
    </w:p>
    <w:p>
      <w:pPr>
        <w:pStyle w:val="ListParagraph"/>
        <w:numPr>
          <w:ilvl w:val="0"/>
          <w:numId w:val="5"/>
        </w:numPr>
        <w:bidi/>
        <w:spacing w:after="90" w:line="300"/>
        <w:jc w:val="start"/>
      </w:pPr>
      <w:r>
        <w:rPr>
          <w:rFonts w:ascii="Arial" w:cs="Arial" w:eastAsia="Arial" w:hAnsi="Arial"/>
          <w:color w:val="1F2937"/>
          <w:sz w:val="22"/>
          <w:szCs w:val="22"/>
          <w:rtl/>
        </w:rPr>
        <w:t xml:space="preserve">يُخطر العامل بالقرار كتابةً ويُحفظ في ملفه.</w:t>
      </w:r>
    </w:p>
    <w:p>
      <w:pPr>
        <w:pStyle w:val="Heading2"/>
        <w:bidi/>
        <w:spacing w:after="140" w:before="300"/>
        <w:jc w:val="start"/>
      </w:pPr>
      <w:r>
        <w:rPr>
          <w:rFonts w:ascii="Arial" w:cs="Arial" w:eastAsia="Arial" w:hAnsi="Arial"/>
          <w:b/>
          <w:bCs/>
          <w:color w:val="0E6B63"/>
          <w:sz w:val="26"/>
          <w:szCs w:val="26"/>
          <w:rtl/>
        </w:rPr>
        <w:t xml:space="preserve">سادساً: التظلم</w:t>
      </w:r>
    </w:p>
    <w:p>
      <w:pPr>
        <w:bidi/>
        <w:spacing w:after="200"/>
        <w:jc w:val="start"/>
      </w:pPr>
      <w:r>
        <w:rPr>
          <w:rFonts w:ascii="Arial" w:cs="Arial" w:eastAsia="Arial" w:hAnsi="Arial"/>
          <w:b/>
          <w:bCs/>
          <w:color w:val="1F2937"/>
          <w:sz w:val="22"/>
          <w:szCs w:val="22"/>
          <w:rtl/>
        </w:rPr>
        <w:t xml:space="preserve">الجهة التي يُقدَّم إليها التظلم: </w:t>
      </w:r>
      <w:r>
        <w:rPr>
          <w:rFonts w:ascii="Arial" w:cs="Arial" w:eastAsia="Arial" w:hAnsi="Arial"/>
          <w:color w:val="6B7280"/>
          <w:sz w:val="22"/>
          <w:szCs w:val="22"/>
          <w:rtl/>
        </w:rPr>
        <w:t xml:space="preserve">………………………………………………………………</w:t>
      </w:r>
    </w:p>
    <w:p>
      <w:pPr>
        <w:bidi/>
        <w:spacing w:after="200"/>
        <w:jc w:val="start"/>
      </w:pPr>
      <w:r>
        <w:rPr>
          <w:rFonts w:ascii="Arial" w:cs="Arial" w:eastAsia="Arial" w:hAnsi="Arial"/>
          <w:b/>
          <w:bCs/>
          <w:color w:val="1F2937"/>
          <w:sz w:val="22"/>
          <w:szCs w:val="22"/>
          <w:rtl/>
        </w:rPr>
        <w:t xml:space="preserve">مهلة تقديم التظلم من تاريخ الإخطار: </w:t>
      </w:r>
      <w:r>
        <w:rPr>
          <w:rFonts w:ascii="Arial" w:cs="Arial" w:eastAsia="Arial" w:hAnsi="Arial"/>
          <w:color w:val="6B7280"/>
          <w:sz w:val="22"/>
          <w:szCs w:val="22"/>
          <w:rtl/>
        </w:rPr>
        <w:t xml:space="preserve">………………………………………………………………</w:t>
      </w:r>
    </w:p>
    <w:p>
      <w:pPr>
        <w:bidi/>
        <w:spacing w:after="200"/>
        <w:jc w:val="start"/>
      </w:pPr>
      <w:r>
        <w:rPr>
          <w:rFonts w:ascii="Arial" w:cs="Arial" w:eastAsia="Arial" w:hAnsi="Arial"/>
          <w:b/>
          <w:bCs/>
          <w:color w:val="1F2937"/>
          <w:sz w:val="22"/>
          <w:szCs w:val="22"/>
          <w:rtl/>
        </w:rPr>
        <w:t xml:space="preserve">مهلة البت في التظلم: </w:t>
      </w:r>
      <w:r>
        <w:rPr>
          <w:rFonts w:ascii="Arial" w:cs="Arial" w:eastAsia="Arial" w:hAnsi="Arial"/>
          <w:color w:val="6B7280"/>
          <w:sz w:val="22"/>
          <w:szCs w:val="22"/>
          <w:rtl/>
        </w:rPr>
        <w:t xml:space="preserve">………………………………………………………………</w:t>
      </w:r>
    </w:p>
    <w:p>
      <w:pPr>
        <w:pBdr>
          <w:top w:val="single" w:color="E5E7EB" w:sz="2"/>
          <w:bottom w:val="single" w:color="E5E7EB" w:sz="2"/>
          <w:left w:val="single" w:color="E5E7EB" w:sz="2"/>
          <w:right w:val="single" w:color="0E6B63" w:sz="12"/>
        </w:pBdr>
        <w:shd w:fill="F3F4F6" w:val="clear"/>
        <w:bidi/>
        <w:spacing w:after="200" w:before="160" w:line="300"/>
        <w:jc w:val="start"/>
      </w:pPr>
      <w:r>
        <w:rPr>
          <w:rFonts w:ascii="Arial" w:cs="Arial" w:eastAsia="Arial" w:hAnsi="Arial"/>
          <w:color w:val="374151"/>
          <w:sz w:val="20"/>
          <w:szCs w:val="20"/>
          <w:rtl/>
        </w:rPr>
        <w:t xml:space="preserve">وجود مسار تظلم معلن يخدم الشركة قبل العامل: القرار الذي مرّ بتظلم ورُدَّ عليه كتابةً موقف يمكن الدفاع عنه، والقرار الذي لم يُتَح الاعتراض عليه ليس كذلك.</w:t>
      </w:r>
    </w:p>
    <w:p>
      <w:pPr>
        <w:pStyle w:val="Heading2"/>
        <w:bidi/>
        <w:spacing w:after="140" w:before="300"/>
        <w:jc w:val="start"/>
      </w:pPr>
      <w:r>
        <w:rPr>
          <w:rFonts w:ascii="Arial" w:cs="Arial" w:eastAsia="Arial" w:hAnsi="Arial"/>
          <w:b/>
          <w:bCs/>
          <w:color w:val="0E6B63"/>
          <w:sz w:val="26"/>
          <w:szCs w:val="26"/>
          <w:rtl/>
        </w:rPr>
        <w:t xml:space="preserve">سابعاً: أحكام ختامية</w:t>
      </w:r>
    </w:p>
    <w:p>
      <w:pPr>
        <w:pStyle w:val="ListParagraph"/>
        <w:numPr>
          <w:ilvl w:val="0"/>
          <w:numId w:val="3"/>
        </w:numPr>
        <w:bidi/>
        <w:spacing w:after="90" w:line="300"/>
        <w:jc w:val="start"/>
      </w:pPr>
      <w:r>
        <w:rPr>
          <w:rFonts w:ascii="Arial" w:cs="Arial" w:eastAsia="Arial" w:hAnsi="Arial"/>
          <w:color w:val="1F2937"/>
          <w:sz w:val="22"/>
          <w:szCs w:val="22"/>
          <w:rtl/>
        </w:rPr>
        <w:t xml:space="preserve">تُعلن هذه اللائحة للعاملين بالوسيلة المعتمدة في الشركة، ويُحتفظ بما يثبت الإعلان.</w:t>
      </w:r>
    </w:p>
    <w:p>
      <w:pPr>
        <w:pStyle w:val="ListParagraph"/>
        <w:numPr>
          <w:ilvl w:val="0"/>
          <w:numId w:val="3"/>
        </w:numPr>
        <w:bidi/>
        <w:spacing w:after="90" w:line="300"/>
        <w:jc w:val="start"/>
      </w:pPr>
      <w:r>
        <w:rPr>
          <w:rFonts w:ascii="Arial" w:cs="Arial" w:eastAsia="Arial" w:hAnsi="Arial"/>
          <w:color w:val="1F2937"/>
          <w:sz w:val="22"/>
          <w:szCs w:val="22"/>
          <w:rtl/>
        </w:rPr>
        <w:t xml:space="preserve">يُعتد بالنسخة المعتمدة والمودعة لدى الجهة المختصة إن كان الإيداع مطلوباً.</w:t>
      </w:r>
    </w:p>
    <w:p>
      <w:pPr>
        <w:pStyle w:val="ListParagraph"/>
        <w:numPr>
          <w:ilvl w:val="0"/>
          <w:numId w:val="3"/>
        </w:numPr>
        <w:bidi/>
        <w:spacing w:after="90" w:line="300"/>
        <w:jc w:val="start"/>
      </w:pPr>
      <w:r>
        <w:rPr>
          <w:rFonts w:ascii="Arial" w:cs="Arial" w:eastAsia="Arial" w:hAnsi="Arial"/>
          <w:color w:val="1F2937"/>
          <w:sz w:val="22"/>
          <w:szCs w:val="22"/>
          <w:rtl/>
        </w:rPr>
        <w:t xml:space="preserve">يخضع ما لم يرد به نص في هذه اللائحة لأحكام قانون العمل السارِي.</w:t>
      </w:r>
    </w:p>
    <w:p>
      <w:pPr>
        <w:bidi/>
        <w:spacing w:after="120"/>
        <w:jc w:val="start"/>
      </w:pPr>
    </w:p>
    <w:tbl>
      <w:tblPr>
        <w:bidiVisual/>
        <w:tblW w:type="dxa" w:w="8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200"/>
        <w:gridCol w:w="4200"/>
      </w:tblGrid>
      <w:tr>
        <w:trPr>
          <w:tblHeader/>
        </w:trPr>
        <w:tc>
          <w:tcPr>
            <w:tcW w:type="dxa" w:w="4200"/>
            <w:shd w:fill="E8F3F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b/>
                <w:bCs/>
                <w:color w:val="0E6B63"/>
                <w:sz w:val="20"/>
                <w:szCs w:val="20"/>
                <w:rtl/>
              </w:rPr>
              <w:t xml:space="preserve">اعتماد الإدارة</w:t>
            </w:r>
          </w:p>
        </w:tc>
        <w:tc>
          <w:tcPr>
            <w:tcW w:type="dxa" w:w="4200"/>
            <w:shd w:fill="E8F3F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b/>
                <w:bCs/>
                <w:color w:val="0E6B63"/>
                <w:sz w:val="20"/>
                <w:szCs w:val="20"/>
                <w:rtl/>
              </w:rPr>
              <w:t xml:space="preserve">التاريخ</w:t>
            </w:r>
          </w:p>
        </w:tc>
      </w:tr>
      <w:tr>
        <w:tc>
          <w:tcPr>
            <w:tcW w:type="dxa" w:w="42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…………………………</w:t>
            </w:r>
          </w:p>
        </w:tc>
        <w:tc>
          <w:tcPr>
            <w:tcW w:type="dxa" w:w="42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……/……/…………</w:t>
            </w:r>
          </w:p>
        </w:tc>
      </w:tr>
    </w:tbl>
    <w:p>
      <w:pPr>
        <w:bidi/>
        <w:spacing w:after="120"/>
        <w:jc w:val="start"/>
      </w:pPr>
    </w:p>
    <w:p>
      <w:pPr>
        <w:pBdr>
          <w:top w:val="single" w:color="E5E7EB" w:sz="4"/>
        </w:pBdr>
        <w:bidi/>
        <w:spacing w:before="240"/>
        <w:jc w:val="start"/>
      </w:pPr>
      <w:r>
        <w:rPr>
          <w:rFonts w:ascii="Arial" w:cs="Arial" w:eastAsia="Arial" w:hAnsi="Arial"/>
          <w:i/>
          <w:iCs/>
          <w:color w:val="6B7280"/>
          <w:sz w:val="18"/>
          <w:szCs w:val="18"/>
          <w:rtl/>
        </w:rPr>
        <w:t xml:space="preserve">نموذج استرشادي من Nova HR — novahrs.com. راجعه مع مستشارك القانوني قبل الاعتماد، فالصياغة النهائية تعتمد على نشاط الشركة ولائحتها الداخلية والتشريعات السارية وقت التوقيع.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—"/>
      <w:lvlJc w:val="start"/>
      <w:pPr>
        <w:ind w:start="36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360" w:hanging="26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360" w:hanging="260"/>
      </w:pPr>
    </w:lvl>
  </w:abstractNum>
  <w:abstractNum w:abstractNumId="5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360" w:hanging="260"/>
      </w:pPr>
    </w:lvl>
  </w:abstractNum>
  <w:abstractNum w:abstractNumId="6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360" w:hanging="260"/>
      </w:pPr>
    </w:lvl>
  </w:abstractNum>
  <w:abstractNum w:abstractNumId="7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360" w:hanging="260"/>
      </w:pPr>
    </w:lvl>
  </w:abstractNum>
  <w:abstractNum w:abstractNumId="8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360" w:hanging="260"/>
      </w:pPr>
    </w:lvl>
  </w:abstractNum>
  <w:num w:numId="1">
    <w:abstractNumId w:val="1"/>
    <w:lvlOverride w:ilvl="0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6"/>
    <w:lvlOverride w:ilvl="0">
      <w:startOverride w:val="1"/>
    </w:lvlOverride>
  </w:num>
  <w:num w:numId="5">
    <w:abstractNumId w:val="7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>
      <w:pPr>
        <w:bidi/>
        <w:jc w:val="star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2026-08-17T19:06:46.067Z</dcterms:created>
  <dcterms:modified xsi:type="dcterms:W3CDTF">2026-08-17T19:06:46.067Z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